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0FFAA" w14:textId="77777777" w:rsidR="004E2DA7" w:rsidRPr="004E2DA7" w:rsidRDefault="004E2DA7" w:rsidP="004E2DA7">
      <w:pPr>
        <w:widowControl w:val="0"/>
        <w:suppressAutoHyphens/>
        <w:rPr>
          <w:rFonts w:asciiTheme="minorHAnsi" w:hAnsiTheme="minorHAnsi"/>
          <w:b/>
          <w:sz w:val="24"/>
        </w:rPr>
      </w:pPr>
      <w:r w:rsidRPr="004E2DA7">
        <w:rPr>
          <w:rFonts w:asciiTheme="minorHAnsi" w:hAnsiTheme="minorHAnsi"/>
          <w:b/>
          <w:sz w:val="24"/>
        </w:rPr>
        <w:t xml:space="preserve">Untersuchung der Effektivität von osteopathischen Behandlungen zusätzlich zur Standardtherapie bei Jugendlichen mit unspezifischen Kreuzschmerzen. Randomisierte kontrollierte Studie. </w:t>
      </w:r>
    </w:p>
    <w:p w14:paraId="29CCF3E7" w14:textId="77777777" w:rsidR="004E2DA7" w:rsidRPr="0096562A" w:rsidRDefault="004E2DA7" w:rsidP="004E2DA7">
      <w:pPr>
        <w:widowControl w:val="0"/>
        <w:suppressAutoHyphens/>
        <w:rPr>
          <w:rFonts w:ascii="Calibri" w:hAnsi="Calibri"/>
          <w:b/>
          <w:sz w:val="24"/>
        </w:rPr>
      </w:pPr>
      <w:r>
        <w:rPr>
          <w:rFonts w:asciiTheme="majorHAnsi" w:hAnsiTheme="majorHAnsi" w:cs="Arial"/>
          <w:i/>
          <w:color w:val="000090"/>
          <w:szCs w:val="28"/>
        </w:rPr>
        <w:t xml:space="preserve">Peter Ringeisen </w:t>
      </w:r>
    </w:p>
    <w:p w14:paraId="36B5A1E9" w14:textId="77777777" w:rsidR="004E2DA7" w:rsidRDefault="004E2DA7" w:rsidP="004E2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i/>
          <w:sz w:val="24"/>
          <w:szCs w:val="28"/>
        </w:rPr>
      </w:pPr>
    </w:p>
    <w:p w14:paraId="71113BF0" w14:textId="77777777" w:rsidR="004E2DA7" w:rsidRDefault="004E2DA7" w:rsidP="004E2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mbria" w:hAnsi="Calibri" w:cs="Arial"/>
          <w:bCs/>
          <w:color w:val="000000"/>
          <w:sz w:val="24"/>
          <w:szCs w:val="21"/>
          <w:lang w:eastAsia="en-US"/>
        </w:rPr>
      </w:pPr>
      <w:r w:rsidRPr="00FA38FE">
        <w:rPr>
          <w:rFonts w:ascii="Calibri" w:eastAsia="Cambria" w:hAnsi="Calibri" w:cs="Arial"/>
          <w:b/>
          <w:bCs/>
          <w:color w:val="000000"/>
          <w:sz w:val="24"/>
          <w:szCs w:val="21"/>
          <w:lang w:eastAsia="en-US"/>
        </w:rPr>
        <w:t>Studienziel:</w:t>
      </w:r>
      <w:r>
        <w:rPr>
          <w:rFonts w:ascii="Calibri" w:eastAsia="Cambria" w:hAnsi="Calibri" w:cs="Arial"/>
          <w:b/>
          <w:bCs/>
          <w:color w:val="000000"/>
          <w:sz w:val="24"/>
          <w:szCs w:val="21"/>
          <w:lang w:eastAsia="en-US"/>
        </w:rPr>
        <w:t xml:space="preserve"> </w:t>
      </w:r>
      <w:r>
        <w:rPr>
          <w:rFonts w:ascii="Calibri" w:eastAsia="Cambria" w:hAnsi="Calibri" w:cs="Arial"/>
          <w:bCs/>
          <w:color w:val="000000"/>
          <w:sz w:val="24"/>
          <w:szCs w:val="21"/>
          <w:lang w:eastAsia="en-US"/>
        </w:rPr>
        <w:t xml:space="preserve">Untersuchung der Effektivität einer osteopathischen Behandlung bei Jugendlichen im Alter zwischen 14 und 18 Jahren mit unspezifischen Kreuzschmerzen zusätzlich zur Standardtherapie im Vergleich zur alleinigen standardtherapeutischen Behandlung.  </w:t>
      </w:r>
    </w:p>
    <w:p w14:paraId="3D354D4A" w14:textId="77777777" w:rsidR="004E2DA7" w:rsidRDefault="004E2DA7" w:rsidP="004E2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mbria" w:hAnsi="Calibri" w:cs="Arial"/>
          <w:bCs/>
          <w:color w:val="000000"/>
          <w:sz w:val="24"/>
          <w:szCs w:val="21"/>
          <w:lang w:eastAsia="en-US"/>
        </w:rPr>
      </w:pPr>
    </w:p>
    <w:p w14:paraId="40E2E753" w14:textId="77777777" w:rsidR="004E2DA7" w:rsidRPr="00605833" w:rsidRDefault="004E2DA7" w:rsidP="004E2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mbria" w:hAnsi="Calibri" w:cs="Arial"/>
          <w:bCs/>
          <w:color w:val="000000"/>
          <w:sz w:val="24"/>
          <w:szCs w:val="21"/>
          <w:lang w:eastAsia="en-US"/>
        </w:rPr>
      </w:pPr>
      <w:r w:rsidRPr="00FA38FE">
        <w:rPr>
          <w:rFonts w:ascii="Calibri" w:eastAsia="Cambria" w:hAnsi="Calibri" w:cs="Arial"/>
          <w:b/>
          <w:bCs/>
          <w:color w:val="000000"/>
          <w:sz w:val="24"/>
          <w:szCs w:val="21"/>
          <w:lang w:eastAsia="en-US"/>
        </w:rPr>
        <w:t xml:space="preserve">Studiendesign: </w:t>
      </w:r>
      <w:r>
        <w:rPr>
          <w:rFonts w:ascii="Calibri" w:eastAsia="Cambria" w:hAnsi="Calibri" w:cs="Arial"/>
          <w:bCs/>
          <w:color w:val="000000"/>
          <w:sz w:val="24"/>
          <w:szCs w:val="21"/>
          <w:lang w:eastAsia="en-US"/>
        </w:rPr>
        <w:t xml:space="preserve">Randomisierte kontrollierte Studie.  </w:t>
      </w:r>
    </w:p>
    <w:p w14:paraId="5BD13404" w14:textId="77777777" w:rsidR="004E2DA7" w:rsidRPr="00FA38FE" w:rsidRDefault="004E2DA7" w:rsidP="004E2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mbria" w:hAnsi="Calibri" w:cs="Arial"/>
          <w:bCs/>
          <w:color w:val="000000"/>
          <w:szCs w:val="21"/>
          <w:lang w:val="en-US" w:eastAsia="en-US"/>
        </w:rPr>
      </w:pPr>
    </w:p>
    <w:p w14:paraId="03C567A1" w14:textId="77777777" w:rsidR="004E2DA7" w:rsidRDefault="004E2DA7" w:rsidP="004E2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mbria" w:hAnsiTheme="majorHAnsi" w:cs="Arial"/>
          <w:bCs/>
          <w:color w:val="000000"/>
          <w:sz w:val="24"/>
          <w:szCs w:val="24"/>
          <w:lang w:eastAsia="en-US"/>
        </w:rPr>
      </w:pPr>
      <w:r w:rsidRPr="000D7D5D">
        <w:rPr>
          <w:rFonts w:ascii="Calibri" w:eastAsia="Cambria" w:hAnsi="Calibri" w:cs="Arial"/>
          <w:b/>
          <w:bCs/>
          <w:color w:val="000000"/>
          <w:sz w:val="24"/>
          <w:szCs w:val="21"/>
          <w:lang w:eastAsia="en-US"/>
        </w:rPr>
        <w:t xml:space="preserve">Methoden: </w:t>
      </w:r>
      <w:bookmarkStart w:id="0" w:name="_GoBack"/>
      <w:r w:rsidRPr="004E2DA7">
        <w:rPr>
          <w:rFonts w:asciiTheme="minorHAnsi" w:eastAsia="Cambria" w:hAnsiTheme="minorHAnsi" w:cs="Arial"/>
          <w:bCs/>
          <w:color w:val="000000"/>
          <w:sz w:val="24"/>
          <w:szCs w:val="24"/>
          <w:lang w:eastAsia="en-US"/>
        </w:rPr>
        <w:t xml:space="preserve">Ein am College Sutherland ausgebildeter </w:t>
      </w:r>
      <w:proofErr w:type="spellStart"/>
      <w:r w:rsidRPr="004E2DA7">
        <w:rPr>
          <w:rFonts w:asciiTheme="minorHAnsi" w:eastAsia="Cambria" w:hAnsiTheme="minorHAnsi" w:cs="Arial"/>
          <w:bCs/>
          <w:color w:val="000000"/>
          <w:sz w:val="24"/>
          <w:szCs w:val="24"/>
          <w:lang w:eastAsia="en-US"/>
        </w:rPr>
        <w:t>Osteopath</w:t>
      </w:r>
      <w:proofErr w:type="spellEnd"/>
      <w:r w:rsidRPr="004E2DA7">
        <w:rPr>
          <w:rFonts w:asciiTheme="minorHAnsi" w:eastAsia="Cambria" w:hAnsiTheme="minorHAnsi" w:cs="Arial"/>
          <w:bCs/>
          <w:color w:val="000000"/>
          <w:sz w:val="24"/>
          <w:szCs w:val="24"/>
          <w:lang w:eastAsia="en-US"/>
        </w:rPr>
        <w:t xml:space="preserve"> führte die Untersuchung in seiner privaten Praxis in Mainz durch. 20 jugendliche Patienten </w:t>
      </w:r>
      <w:r w:rsidRPr="004E2DA7">
        <w:rPr>
          <w:rFonts w:asciiTheme="minorHAnsi" w:hAnsiTheme="minorHAnsi"/>
          <w:sz w:val="24"/>
          <w:szCs w:val="24"/>
        </w:rPr>
        <w:t>(</w:t>
      </w:r>
      <w:r w:rsidRPr="004E2DA7">
        <w:rPr>
          <w:rFonts w:ascii="MS Mincho" w:eastAsia="MS Mincho" w:hAnsi="MS Mincho" w:cs="MS Mincho"/>
          <w:sz w:val="24"/>
          <w:szCs w:val="24"/>
        </w:rPr>
        <w:t>♀</w:t>
      </w:r>
      <w:r w:rsidRPr="004E2DA7">
        <w:rPr>
          <w:rFonts w:asciiTheme="minorHAnsi" w:hAnsiTheme="minorHAnsi"/>
          <w:sz w:val="24"/>
          <w:szCs w:val="24"/>
        </w:rPr>
        <w:t xml:space="preserve"> 11, </w:t>
      </w:r>
      <w:r w:rsidRPr="004E2DA7">
        <w:rPr>
          <w:rFonts w:ascii="MS Mincho" w:eastAsia="MS Mincho" w:hAnsi="MS Mincho" w:cs="MS Mincho"/>
          <w:sz w:val="24"/>
          <w:szCs w:val="24"/>
        </w:rPr>
        <w:t>♂</w:t>
      </w:r>
      <w:r w:rsidRPr="004E2DA7">
        <w:rPr>
          <w:rFonts w:asciiTheme="minorHAnsi" w:hAnsiTheme="minorHAnsi"/>
          <w:sz w:val="24"/>
          <w:szCs w:val="24"/>
        </w:rPr>
        <w:t xml:space="preserve"> 9</w:t>
      </w:r>
      <w:proofErr w:type="gramStart"/>
      <w:r w:rsidRPr="004E2DA7">
        <w:rPr>
          <w:rFonts w:asciiTheme="minorHAnsi" w:hAnsiTheme="minorHAnsi"/>
          <w:sz w:val="24"/>
          <w:szCs w:val="24"/>
        </w:rPr>
        <w:t xml:space="preserve">) </w:t>
      </w:r>
      <w:r w:rsidRPr="004E2DA7">
        <w:rPr>
          <w:rFonts w:asciiTheme="minorHAnsi" w:eastAsia="Cambria" w:hAnsiTheme="minorHAnsi" w:cs="Arial"/>
          <w:bCs/>
          <w:color w:val="000000"/>
          <w:sz w:val="24"/>
          <w:szCs w:val="24"/>
          <w:lang w:eastAsia="en-US"/>
        </w:rPr>
        <w:t xml:space="preserve"> zwischen</w:t>
      </w:r>
      <w:proofErr w:type="gramEnd"/>
      <w:r w:rsidRPr="004E2DA7">
        <w:rPr>
          <w:rFonts w:asciiTheme="minorHAnsi" w:eastAsia="Cambria" w:hAnsiTheme="minorHAnsi" w:cs="Arial"/>
          <w:bCs/>
          <w:color w:val="000000"/>
          <w:sz w:val="24"/>
          <w:szCs w:val="24"/>
          <w:lang w:eastAsia="en-US"/>
        </w:rPr>
        <w:t xml:space="preserve"> 14 und 18 Jahren (im Mittel </w:t>
      </w:r>
      <w:r w:rsidRPr="004E2DA7">
        <w:rPr>
          <w:rFonts w:asciiTheme="minorHAnsi" w:eastAsia="Cambria" w:hAnsiTheme="minorHAnsi" w:cs="Arial"/>
          <w:color w:val="000000"/>
          <w:sz w:val="24"/>
          <w:szCs w:val="24"/>
          <w:lang w:eastAsia="en-US"/>
        </w:rPr>
        <w:t xml:space="preserve">16 ± 1,5 Jahre), mit Schmerzen in der </w:t>
      </w:r>
      <w:proofErr w:type="spellStart"/>
      <w:r w:rsidRPr="004E2DA7">
        <w:rPr>
          <w:rFonts w:asciiTheme="minorHAnsi" w:eastAsia="Cambria" w:hAnsiTheme="minorHAnsi" w:cs="Arial"/>
          <w:color w:val="000000"/>
          <w:sz w:val="24"/>
          <w:szCs w:val="24"/>
          <w:lang w:eastAsia="en-US"/>
        </w:rPr>
        <w:t>lumbo</w:t>
      </w:r>
      <w:proofErr w:type="spellEnd"/>
      <w:r w:rsidRPr="004E2DA7">
        <w:rPr>
          <w:rFonts w:asciiTheme="minorHAnsi" w:eastAsia="Cambria" w:hAnsiTheme="minorHAnsi" w:cs="Arial"/>
          <w:color w:val="000000"/>
          <w:sz w:val="24"/>
          <w:szCs w:val="24"/>
          <w:lang w:eastAsia="en-US"/>
        </w:rPr>
        <w:t>-sakralen Region (einseitig oder beidseitig), wurden eingeschlossen</w:t>
      </w:r>
      <w:r w:rsidRPr="004E2DA7">
        <w:rPr>
          <w:rFonts w:asciiTheme="minorHAnsi" w:eastAsia="Cambria" w:hAnsiTheme="minorHAnsi" w:cs="Arial"/>
          <w:bCs/>
          <w:color w:val="000000"/>
          <w:sz w:val="24"/>
          <w:szCs w:val="24"/>
          <w:lang w:eastAsia="en-US"/>
        </w:rPr>
        <w:t>. Die Schmerzsymptomatik musste seit mindestens 3 Monaten anwesend sein (Schmerzintensität auf der NRS &gt; 4). Die 10 Patienten der Interventionsgruppe erhielten 4 osteopathische Behandlungen in Abständen von 2 Wochen zusätzlich zur Standardtherapie „Medizinische Fitness“. Die individuellen befundorientierten osteopathischen Behandlungen basierten auf den osteopathischen Prinzipien. 10 Wochen nach Studienende erfolgte ein Follow-</w:t>
      </w:r>
      <w:proofErr w:type="spellStart"/>
      <w:r w:rsidRPr="004E2DA7">
        <w:rPr>
          <w:rFonts w:asciiTheme="minorHAnsi" w:eastAsia="Cambria" w:hAnsiTheme="minorHAnsi" w:cs="Arial"/>
          <w:bCs/>
          <w:color w:val="000000"/>
          <w:sz w:val="24"/>
          <w:szCs w:val="24"/>
          <w:lang w:eastAsia="en-US"/>
        </w:rPr>
        <w:t>up</w:t>
      </w:r>
      <w:proofErr w:type="spellEnd"/>
      <w:r w:rsidRPr="004E2DA7">
        <w:rPr>
          <w:rFonts w:asciiTheme="minorHAnsi" w:eastAsia="Cambria" w:hAnsiTheme="minorHAnsi" w:cs="Arial"/>
          <w:bCs/>
          <w:color w:val="000000"/>
          <w:sz w:val="24"/>
          <w:szCs w:val="24"/>
          <w:lang w:eastAsia="en-US"/>
        </w:rPr>
        <w:t xml:space="preserve">. Die 10 Patienten der Kontrollgruppe nahmen ausschließlich an einem Gerätetraining („Medizinische Fitness“) teil. Primärer Zielparameter war die Schmerzintensität (momentane, durchschnittliche und stärkste), gemessen mit numerischen Rating-Skalen (NRS), als sekundäre Zielparameter wurden die Beeinträchtigung durch den Rückschmerz (Roland </w:t>
      </w:r>
      <w:proofErr w:type="spellStart"/>
      <w:r w:rsidRPr="004E2DA7">
        <w:rPr>
          <w:rFonts w:asciiTheme="minorHAnsi" w:eastAsia="Cambria" w:hAnsiTheme="minorHAnsi" w:cs="Arial"/>
          <w:bCs/>
          <w:color w:val="000000"/>
          <w:sz w:val="24"/>
          <w:szCs w:val="24"/>
          <w:lang w:eastAsia="en-US"/>
        </w:rPr>
        <w:t>and</w:t>
      </w:r>
      <w:proofErr w:type="spellEnd"/>
      <w:r w:rsidRPr="004E2DA7">
        <w:rPr>
          <w:rFonts w:asciiTheme="minorHAnsi" w:eastAsia="Cambria" w:hAnsiTheme="minorHAnsi" w:cs="Arial"/>
          <w:bCs/>
          <w:color w:val="000000"/>
          <w:sz w:val="24"/>
          <w:szCs w:val="24"/>
          <w:lang w:eastAsia="en-US"/>
        </w:rPr>
        <w:t xml:space="preserve"> Morris </w:t>
      </w:r>
      <w:proofErr w:type="spellStart"/>
      <w:r w:rsidRPr="004E2DA7">
        <w:rPr>
          <w:rFonts w:asciiTheme="minorHAnsi" w:eastAsia="Cambria" w:hAnsiTheme="minorHAnsi" w:cs="Arial"/>
          <w:bCs/>
          <w:color w:val="000000"/>
          <w:sz w:val="24"/>
          <w:szCs w:val="24"/>
          <w:lang w:eastAsia="en-US"/>
        </w:rPr>
        <w:t>Disability</w:t>
      </w:r>
      <w:proofErr w:type="spellEnd"/>
      <w:r w:rsidRPr="004E2DA7">
        <w:rPr>
          <w:rFonts w:asciiTheme="minorHAnsi" w:eastAsia="Cambria" w:hAnsiTheme="minorHAnsi" w:cs="Arial"/>
          <w:bCs/>
          <w:color w:val="000000"/>
          <w:sz w:val="24"/>
          <w:szCs w:val="24"/>
          <w:lang w:eastAsia="en-US"/>
        </w:rPr>
        <w:t xml:space="preserve"> </w:t>
      </w:r>
      <w:proofErr w:type="spellStart"/>
      <w:r w:rsidRPr="004E2DA7">
        <w:rPr>
          <w:rFonts w:asciiTheme="minorHAnsi" w:eastAsia="Cambria" w:hAnsiTheme="minorHAnsi" w:cs="Arial"/>
          <w:bCs/>
          <w:color w:val="000000"/>
          <w:sz w:val="24"/>
          <w:szCs w:val="24"/>
          <w:lang w:eastAsia="en-US"/>
        </w:rPr>
        <w:t>Questionnaire</w:t>
      </w:r>
      <w:proofErr w:type="spellEnd"/>
      <w:r w:rsidRPr="004E2DA7">
        <w:rPr>
          <w:rFonts w:asciiTheme="minorHAnsi" w:eastAsia="Cambria" w:hAnsiTheme="minorHAnsi" w:cs="Arial"/>
          <w:bCs/>
          <w:color w:val="000000"/>
          <w:sz w:val="24"/>
          <w:szCs w:val="24"/>
          <w:lang w:eastAsia="en-US"/>
        </w:rPr>
        <w:t>, RMDQ), Medikamentenverbrauch und Fehlzeiten (Tagebuch) sowie die osteopathischen Dysfunktionen (Befundschema) erfasst.</w:t>
      </w:r>
      <w:bookmarkEnd w:id="0"/>
      <w:r>
        <w:rPr>
          <w:rFonts w:asciiTheme="majorHAnsi" w:eastAsia="Cambria" w:hAnsiTheme="majorHAnsi" w:cs="Arial"/>
          <w:bCs/>
          <w:color w:val="000000"/>
          <w:sz w:val="24"/>
          <w:szCs w:val="24"/>
          <w:lang w:eastAsia="en-US"/>
        </w:rPr>
        <w:t xml:space="preserve">  </w:t>
      </w:r>
    </w:p>
    <w:p w14:paraId="47254DBA" w14:textId="77777777" w:rsidR="004E2DA7" w:rsidRDefault="004E2DA7" w:rsidP="004E2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mbria" w:hAnsiTheme="majorHAnsi" w:cs="Arial"/>
          <w:bCs/>
          <w:color w:val="000000"/>
          <w:sz w:val="24"/>
          <w:szCs w:val="24"/>
          <w:lang w:eastAsia="en-US"/>
        </w:rPr>
      </w:pPr>
    </w:p>
    <w:p w14:paraId="7D23A1EC" w14:textId="77777777" w:rsidR="004E2DA7" w:rsidRDefault="004E2DA7" w:rsidP="004E2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mbria" w:hAnsi="Calibri" w:cs="Arial"/>
          <w:color w:val="000000"/>
          <w:sz w:val="24"/>
          <w:szCs w:val="21"/>
          <w:lang w:eastAsia="en-US"/>
        </w:rPr>
      </w:pPr>
      <w:r w:rsidRPr="00FA38FE">
        <w:rPr>
          <w:rFonts w:ascii="Calibri" w:eastAsia="Cambria" w:hAnsi="Calibri" w:cs="Arial"/>
          <w:b/>
          <w:color w:val="000000"/>
          <w:sz w:val="24"/>
          <w:szCs w:val="21"/>
          <w:lang w:eastAsia="en-US"/>
        </w:rPr>
        <w:t>Ergebnisse:</w:t>
      </w:r>
      <w:r>
        <w:rPr>
          <w:rFonts w:ascii="Calibri" w:eastAsia="Cambria" w:hAnsi="Calibri" w:cs="Arial"/>
          <w:color w:val="000000"/>
          <w:sz w:val="24"/>
          <w:szCs w:val="21"/>
          <w:lang w:eastAsia="en-US"/>
        </w:rPr>
        <w:t xml:space="preserve"> Im Intergruppenvergleich zeigte sich keine statistisch signifikante Verbesserung der Schmerzintensität zugunsten der zusätzlich </w:t>
      </w:r>
      <w:proofErr w:type="spellStart"/>
      <w:r>
        <w:rPr>
          <w:rFonts w:ascii="Calibri" w:eastAsia="Cambria" w:hAnsi="Calibri" w:cs="Arial"/>
          <w:color w:val="000000"/>
          <w:sz w:val="24"/>
          <w:szCs w:val="21"/>
          <w:lang w:eastAsia="en-US"/>
        </w:rPr>
        <w:t>osteopathisch</w:t>
      </w:r>
      <w:proofErr w:type="spellEnd"/>
      <w:r>
        <w:rPr>
          <w:rFonts w:ascii="Calibri" w:eastAsia="Cambria" w:hAnsi="Calibri" w:cs="Arial"/>
          <w:color w:val="000000"/>
          <w:sz w:val="24"/>
          <w:szCs w:val="21"/>
          <w:lang w:eastAsia="en-US"/>
        </w:rPr>
        <w:t xml:space="preserve"> behandelten Gruppe. Momentane, durchschnittliche und stärkste Schmerzintensität verbesserte sich im Studienverlauf in beiden Gruppen, in der Kontrollgruppe jeweils in einem größeren prozentualen Ausmaß. Auch in Bezug auf die sekundären Parameter zeigte sich das gleiche Bild, teilweise waren auch hier die prozentualen Verbesserungen in der Kontrollgruppe größer. Die Follow-</w:t>
      </w:r>
      <w:proofErr w:type="spellStart"/>
      <w:r>
        <w:rPr>
          <w:rFonts w:ascii="Calibri" w:eastAsia="Cambria" w:hAnsi="Calibri" w:cs="Arial"/>
          <w:color w:val="000000"/>
          <w:sz w:val="24"/>
          <w:szCs w:val="21"/>
          <w:lang w:eastAsia="en-US"/>
        </w:rPr>
        <w:t>up</w:t>
      </w:r>
      <w:proofErr w:type="spellEnd"/>
      <w:r>
        <w:rPr>
          <w:rFonts w:ascii="Calibri" w:eastAsia="Cambria" w:hAnsi="Calibri" w:cs="Arial"/>
          <w:color w:val="000000"/>
          <w:sz w:val="24"/>
          <w:szCs w:val="21"/>
          <w:lang w:eastAsia="en-US"/>
        </w:rPr>
        <w:t xml:space="preserve"> Erhebung zeigt einen leichten Vorteil in Bezug auf weitere Verbesserungen nach Ende der Studienphase zugunsten der zusätzlich </w:t>
      </w:r>
      <w:proofErr w:type="spellStart"/>
      <w:r>
        <w:rPr>
          <w:rFonts w:ascii="Calibri" w:eastAsia="Cambria" w:hAnsi="Calibri" w:cs="Arial"/>
          <w:color w:val="000000"/>
          <w:sz w:val="24"/>
          <w:szCs w:val="21"/>
          <w:lang w:eastAsia="en-US"/>
        </w:rPr>
        <w:t>osteopathisch</w:t>
      </w:r>
      <w:proofErr w:type="spellEnd"/>
      <w:r>
        <w:rPr>
          <w:rFonts w:ascii="Calibri" w:eastAsia="Cambria" w:hAnsi="Calibri" w:cs="Arial"/>
          <w:color w:val="000000"/>
          <w:sz w:val="24"/>
          <w:szCs w:val="21"/>
          <w:lang w:eastAsia="en-US"/>
        </w:rPr>
        <w:t xml:space="preserve"> behandelten Gruppe. Die häufigsten osteopathischen Dysfunktionen fanden sich im parietalen System im Bereich der Kopfgelenke und im Becken (</w:t>
      </w:r>
      <w:proofErr w:type="spellStart"/>
      <w:r>
        <w:rPr>
          <w:rFonts w:ascii="Calibri" w:eastAsia="Cambria" w:hAnsi="Calibri" w:cs="Arial"/>
          <w:color w:val="000000"/>
          <w:sz w:val="24"/>
          <w:szCs w:val="21"/>
          <w:lang w:eastAsia="en-US"/>
        </w:rPr>
        <w:t>Ilium</w:t>
      </w:r>
      <w:proofErr w:type="spellEnd"/>
      <w:r>
        <w:rPr>
          <w:rFonts w:ascii="Calibri" w:eastAsia="Cambria" w:hAnsi="Calibri" w:cs="Arial"/>
          <w:color w:val="000000"/>
          <w:sz w:val="24"/>
          <w:szCs w:val="21"/>
          <w:lang w:eastAsia="en-US"/>
        </w:rPr>
        <w:t xml:space="preserve"> und </w:t>
      </w:r>
      <w:proofErr w:type="spellStart"/>
      <w:r>
        <w:rPr>
          <w:rFonts w:ascii="Calibri" w:eastAsia="Cambria" w:hAnsi="Calibri" w:cs="Arial"/>
          <w:color w:val="000000"/>
          <w:sz w:val="24"/>
          <w:szCs w:val="21"/>
          <w:lang w:eastAsia="en-US"/>
        </w:rPr>
        <w:t>Sakrum</w:t>
      </w:r>
      <w:proofErr w:type="spellEnd"/>
      <w:r>
        <w:rPr>
          <w:rFonts w:ascii="Calibri" w:eastAsia="Cambria" w:hAnsi="Calibri" w:cs="Arial"/>
          <w:color w:val="000000"/>
          <w:sz w:val="24"/>
          <w:szCs w:val="21"/>
          <w:lang w:eastAsia="en-US"/>
        </w:rPr>
        <w:t xml:space="preserve">).    </w:t>
      </w:r>
    </w:p>
    <w:p w14:paraId="5B07D444" w14:textId="77777777" w:rsidR="004E2DA7" w:rsidRDefault="004E2DA7" w:rsidP="004E2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mbria" w:hAnsi="Calibri" w:cs="Arial"/>
          <w:color w:val="000000"/>
          <w:sz w:val="24"/>
          <w:szCs w:val="21"/>
          <w:lang w:eastAsia="en-US"/>
        </w:rPr>
      </w:pPr>
    </w:p>
    <w:p w14:paraId="56672685" w14:textId="77777777" w:rsidR="004E2DA7" w:rsidRPr="00FA38FE" w:rsidRDefault="004E2DA7" w:rsidP="004E2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mbria" w:hAnsiTheme="majorHAnsi" w:cs="Arial"/>
          <w:color w:val="000000"/>
          <w:sz w:val="24"/>
          <w:szCs w:val="21"/>
          <w:lang w:eastAsia="en-US"/>
        </w:rPr>
      </w:pPr>
      <w:r w:rsidRPr="00FA38FE">
        <w:rPr>
          <w:rFonts w:ascii="Calibri" w:eastAsia="Cambria" w:hAnsi="Calibri" w:cs="Arial"/>
          <w:b/>
          <w:color w:val="000000"/>
          <w:sz w:val="24"/>
          <w:szCs w:val="21"/>
          <w:lang w:eastAsia="en-US"/>
        </w:rPr>
        <w:t>Schlussfolgerung:</w:t>
      </w:r>
      <w:r>
        <w:rPr>
          <w:rFonts w:ascii="Calibri" w:eastAsia="Cambria" w:hAnsi="Calibri" w:cs="Arial"/>
          <w:color w:val="000000"/>
          <w:sz w:val="24"/>
          <w:szCs w:val="21"/>
          <w:lang w:eastAsia="en-US"/>
        </w:rPr>
        <w:t xml:space="preserve"> Vier</w:t>
      </w:r>
      <w:r w:rsidRPr="00FA38FE">
        <w:rPr>
          <w:rFonts w:ascii="Calibri" w:eastAsia="Cambria" w:hAnsi="Calibri" w:cs="Arial"/>
          <w:color w:val="000000"/>
          <w:sz w:val="24"/>
          <w:szCs w:val="21"/>
          <w:lang w:eastAsia="en-US"/>
        </w:rPr>
        <w:t xml:space="preserve"> osteopathische Behandlungen über</w:t>
      </w:r>
      <w:r>
        <w:rPr>
          <w:rFonts w:ascii="Calibri" w:eastAsia="Cambria" w:hAnsi="Calibri" w:cs="Arial"/>
          <w:color w:val="000000"/>
          <w:sz w:val="24"/>
          <w:szCs w:val="21"/>
          <w:lang w:eastAsia="en-US"/>
        </w:rPr>
        <w:t xml:space="preserve"> einen Zeitraum von acht</w:t>
      </w:r>
      <w:r w:rsidRPr="00FA38FE">
        <w:rPr>
          <w:rFonts w:ascii="Calibri" w:eastAsia="Cambria" w:hAnsi="Calibri" w:cs="Arial"/>
          <w:color w:val="000000"/>
          <w:sz w:val="24"/>
          <w:szCs w:val="21"/>
          <w:lang w:eastAsia="en-US"/>
        </w:rPr>
        <w:t xml:space="preserve"> Wochen</w:t>
      </w:r>
      <w:r>
        <w:rPr>
          <w:rFonts w:ascii="Calibri" w:eastAsia="Cambria" w:hAnsi="Calibri" w:cs="Arial"/>
          <w:color w:val="000000"/>
          <w:sz w:val="24"/>
          <w:szCs w:val="21"/>
          <w:lang w:eastAsia="en-US"/>
        </w:rPr>
        <w:t xml:space="preserve"> zusätzlich zu einem medizinischen Fitnesstraining</w:t>
      </w:r>
      <w:r w:rsidRPr="00FA38FE">
        <w:rPr>
          <w:rFonts w:ascii="Calibri" w:eastAsia="Cambria" w:hAnsi="Calibri" w:cs="Arial"/>
          <w:color w:val="000000"/>
          <w:sz w:val="24"/>
          <w:szCs w:val="21"/>
          <w:lang w:eastAsia="en-US"/>
        </w:rPr>
        <w:t xml:space="preserve"> führten zu</w:t>
      </w:r>
      <w:r>
        <w:rPr>
          <w:rFonts w:ascii="Calibri" w:eastAsia="Cambria" w:hAnsi="Calibri" w:cs="Arial"/>
          <w:color w:val="000000"/>
          <w:sz w:val="24"/>
          <w:szCs w:val="21"/>
          <w:lang w:eastAsia="en-US"/>
        </w:rPr>
        <w:t xml:space="preserve"> keinen statistisch signifikanten Verbesserungen der Schmerzintensität und Funktionsbeeinträchtigung bei Jugendlichen zwischen 14 und 18 Jahren, die unter Kreuzschmerzen leiden</w:t>
      </w:r>
      <w:r w:rsidRPr="00FA38FE">
        <w:rPr>
          <w:rFonts w:ascii="Calibri" w:eastAsia="Cambria" w:hAnsi="Calibri" w:cs="Arial"/>
          <w:color w:val="000000"/>
          <w:sz w:val="24"/>
          <w:szCs w:val="21"/>
          <w:lang w:eastAsia="en-US"/>
        </w:rPr>
        <w:t>.</w:t>
      </w:r>
      <w:r>
        <w:rPr>
          <w:rFonts w:ascii="Calibri" w:eastAsia="Cambria" w:hAnsi="Calibri" w:cs="Arial"/>
          <w:color w:val="000000"/>
          <w:sz w:val="24"/>
          <w:szCs w:val="21"/>
          <w:lang w:eastAsia="en-US"/>
        </w:rPr>
        <w:t xml:space="preserve"> </w:t>
      </w:r>
    </w:p>
    <w:p w14:paraId="4E3D92C8" w14:textId="77777777" w:rsidR="00407193" w:rsidRDefault="00407193"/>
    <w:sectPr w:rsidR="00407193" w:rsidSect="005656C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vantGarde Md BT">
    <w:altName w:val="Cambria"/>
    <w:charset w:val="00"/>
    <w:family w:val="swiss"/>
    <w:pitch w:val="variable"/>
    <w:sig w:usb0="00000087" w:usb1="00000000" w:usb2="00000000" w:usb3="00000000" w:csb0="0000001B"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B4FDE"/>
    <w:multiLevelType w:val="multilevel"/>
    <w:tmpl w:val="74D0D3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BBA1BB1"/>
    <w:multiLevelType w:val="multilevel"/>
    <w:tmpl w:val="3050CC0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29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7DC07583"/>
    <w:multiLevelType w:val="multilevel"/>
    <w:tmpl w:val="BF964F70"/>
    <w:lvl w:ilvl="0">
      <w:start w:val="2"/>
      <w:numFmt w:val="decimal"/>
      <w:lvlText w:val="%1"/>
      <w:lvlJc w:val="left"/>
      <w:pPr>
        <w:ind w:left="360" w:hanging="360"/>
      </w:pPr>
      <w:rPr>
        <w:rFonts w:hint="default"/>
      </w:rPr>
    </w:lvl>
    <w:lvl w:ilvl="1">
      <w:start w:val="1"/>
      <w:numFmt w:val="decimal"/>
      <w:lvlText w:val="%1.%2"/>
      <w:lvlJc w:val="left"/>
      <w:pPr>
        <w:ind w:left="1872" w:hanging="72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6048"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712" w:hanging="1800"/>
      </w:pPr>
      <w:rPr>
        <w:rFonts w:hint="default"/>
      </w:rPr>
    </w:lvl>
    <w:lvl w:ilvl="7">
      <w:start w:val="1"/>
      <w:numFmt w:val="decimal"/>
      <w:lvlText w:val="%1.%2.%3.%4.%5.%6.%7.%8"/>
      <w:lvlJc w:val="left"/>
      <w:pPr>
        <w:ind w:left="10224" w:hanging="2160"/>
      </w:pPr>
      <w:rPr>
        <w:rFonts w:hint="default"/>
      </w:rPr>
    </w:lvl>
    <w:lvl w:ilvl="8">
      <w:start w:val="1"/>
      <w:numFmt w:val="decimal"/>
      <w:lvlText w:val="%1.%2.%3.%4.%5.%6.%7.%8.%9"/>
      <w:lvlJc w:val="left"/>
      <w:pPr>
        <w:ind w:left="11376"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A7"/>
    <w:rsid w:val="003E26D4"/>
    <w:rsid w:val="00407193"/>
    <w:rsid w:val="004E2DA7"/>
    <w:rsid w:val="005656C8"/>
    <w:rsid w:val="00926FE1"/>
    <w:rsid w:val="00957C69"/>
    <w:rsid w:val="00C76F32"/>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3A99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E2DA7"/>
    <w:rPr>
      <w:rFonts w:ascii="AvantGarde Md BT" w:eastAsia="Times New Roman" w:hAnsi="AvantGarde Md BT" w:cs="Times New Roman"/>
      <w:sz w:val="22"/>
      <w:szCs w:val="22"/>
      <w:lang w:eastAsia="de-DE"/>
    </w:rPr>
  </w:style>
  <w:style w:type="paragraph" w:styleId="berschrift3">
    <w:name w:val="heading 3"/>
    <w:basedOn w:val="Standard"/>
    <w:next w:val="Standard"/>
    <w:link w:val="berschrift3Zchn"/>
    <w:autoRedefine/>
    <w:uiPriority w:val="9"/>
    <w:unhideWhenUsed/>
    <w:qFormat/>
    <w:rsid w:val="00C76F32"/>
    <w:pPr>
      <w:keepNext/>
      <w:keepLines/>
      <w:numPr>
        <w:ilvl w:val="2"/>
        <w:numId w:val="3"/>
      </w:numPr>
      <w:tabs>
        <w:tab w:val="left" w:pos="426"/>
      </w:tabs>
      <w:suppressAutoHyphens/>
      <w:ind w:left="720" w:hanging="295"/>
      <w:outlineLvl w:val="2"/>
    </w:pPr>
    <w:rPr>
      <w:rFonts w:ascii="Verdana" w:eastAsiaTheme="majorEastAsia" w:hAnsi="Verdana" w:cstheme="majorBidi"/>
      <w:b/>
      <w:color w:val="1F3763" w:themeColor="accent1" w:themeShade="7F"/>
      <w:sz w:val="20"/>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uiPriority w:val="39"/>
    <w:unhideWhenUsed/>
    <w:qFormat/>
    <w:rsid w:val="003E26D4"/>
    <w:pPr>
      <w:tabs>
        <w:tab w:val="left" w:pos="1200"/>
        <w:tab w:val="right" w:leader="dot" w:pos="9621"/>
      </w:tabs>
      <w:suppressAutoHyphens/>
      <w:ind w:left="240"/>
    </w:pPr>
    <w:rPr>
      <w:rFonts w:ascii="Verdana" w:hAnsi="Verdana"/>
      <w:iCs/>
      <w:noProof/>
      <w:lang w:eastAsia="zh-CN"/>
    </w:rPr>
  </w:style>
  <w:style w:type="character" w:customStyle="1" w:styleId="berschrift3Zchn">
    <w:name w:val="Überschrift 3 Zchn"/>
    <w:basedOn w:val="Absatz-Standardschriftart"/>
    <w:link w:val="berschrift3"/>
    <w:uiPriority w:val="9"/>
    <w:rsid w:val="00C76F32"/>
    <w:rPr>
      <w:rFonts w:ascii="Verdana" w:eastAsiaTheme="majorEastAsia" w:hAnsi="Verdana" w:cstheme="majorBidi"/>
      <w:b/>
      <w:color w:val="1F3763" w:themeColor="accent1" w:themeShade="7F"/>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2546</Characters>
  <Application>Microsoft Macintosh Word</Application>
  <DocSecurity>0</DocSecurity>
  <Lines>94</Lines>
  <Paragraphs>52</Paragraphs>
  <ScaleCrop>false</ScaleCrop>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Schwerla</dc:creator>
  <cp:keywords/>
  <dc:description/>
  <cp:lastModifiedBy>Florian Schwerla</cp:lastModifiedBy>
  <cp:revision>1</cp:revision>
  <dcterms:created xsi:type="dcterms:W3CDTF">2017-10-03T16:28:00Z</dcterms:created>
  <dcterms:modified xsi:type="dcterms:W3CDTF">2017-10-03T16:29:00Z</dcterms:modified>
</cp:coreProperties>
</file>